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93" w:rsidRPr="00A02293" w:rsidRDefault="00A02293" w:rsidP="00A02293">
      <w:pPr>
        <w:shd w:val="clear" w:color="auto" w:fill="FFFFFF"/>
        <w:spacing w:after="0" w:line="240" w:lineRule="auto"/>
        <w:jc w:val="center"/>
        <w:rPr>
          <w:rFonts w:ascii="yandex-sans" w:eastAsia="Times New Roman" w:hAnsi="yandex-sans" w:cs="Times New Roman"/>
          <w:color w:val="000000"/>
          <w:sz w:val="28"/>
          <w:szCs w:val="28"/>
          <w:lang w:eastAsia="ru-RU"/>
        </w:rPr>
      </w:pPr>
      <w:r w:rsidRPr="00A02293">
        <w:rPr>
          <w:rFonts w:ascii="yandex-sans" w:eastAsia="Times New Roman" w:hAnsi="yandex-sans" w:cs="Times New Roman"/>
          <w:color w:val="000000"/>
          <w:sz w:val="28"/>
          <w:szCs w:val="28"/>
          <w:lang w:eastAsia="ru-RU"/>
        </w:rPr>
        <w:t>Информация</w:t>
      </w:r>
    </w:p>
    <w:p w:rsidR="00A02293" w:rsidRPr="00A02293" w:rsidRDefault="00A02293" w:rsidP="00A02293">
      <w:pPr>
        <w:shd w:val="clear" w:color="auto" w:fill="FFFFFF"/>
        <w:spacing w:after="0" w:line="240" w:lineRule="auto"/>
        <w:jc w:val="center"/>
        <w:rPr>
          <w:rFonts w:ascii="yandex-sans" w:eastAsia="Times New Roman" w:hAnsi="yandex-sans" w:cs="Times New Roman"/>
          <w:color w:val="000000"/>
          <w:sz w:val="28"/>
          <w:szCs w:val="28"/>
          <w:lang w:eastAsia="ru-RU"/>
        </w:rPr>
      </w:pPr>
      <w:r w:rsidRPr="00A02293">
        <w:rPr>
          <w:rFonts w:ascii="yandex-sans" w:eastAsia="Times New Roman" w:hAnsi="yandex-sans" w:cs="Times New Roman"/>
          <w:color w:val="000000"/>
          <w:sz w:val="28"/>
          <w:szCs w:val="28"/>
          <w:lang w:eastAsia="ru-RU"/>
        </w:rPr>
        <w:t>о реализации результатов экспертно-аналитических и</w:t>
      </w:r>
    </w:p>
    <w:p w:rsidR="00A02293" w:rsidRDefault="00A02293" w:rsidP="00A02293">
      <w:pPr>
        <w:shd w:val="clear" w:color="auto" w:fill="FFFFFF"/>
        <w:spacing w:after="0" w:line="240" w:lineRule="auto"/>
        <w:jc w:val="center"/>
        <w:rPr>
          <w:rFonts w:ascii="yandex-sans" w:eastAsia="Times New Roman" w:hAnsi="yandex-sans" w:cs="Times New Roman"/>
          <w:color w:val="000000"/>
          <w:sz w:val="28"/>
          <w:szCs w:val="28"/>
          <w:lang w:eastAsia="ru-RU"/>
        </w:rPr>
      </w:pPr>
      <w:r w:rsidRPr="00A02293">
        <w:rPr>
          <w:rFonts w:ascii="yandex-sans" w:eastAsia="Times New Roman" w:hAnsi="yandex-sans" w:cs="Times New Roman"/>
          <w:color w:val="000000"/>
          <w:sz w:val="28"/>
          <w:szCs w:val="28"/>
          <w:lang w:eastAsia="ru-RU"/>
        </w:rPr>
        <w:t xml:space="preserve">контрольных мероприятий в </w:t>
      </w:r>
      <w:r w:rsidR="001323B2">
        <w:rPr>
          <w:rFonts w:ascii="yandex-sans" w:eastAsia="Times New Roman" w:hAnsi="yandex-sans" w:cs="Times New Roman"/>
          <w:color w:val="000000"/>
          <w:sz w:val="28"/>
          <w:szCs w:val="28"/>
          <w:lang w:eastAsia="ru-RU"/>
        </w:rPr>
        <w:t>202</w:t>
      </w:r>
      <w:r w:rsidR="00A70C9C">
        <w:rPr>
          <w:rFonts w:ascii="yandex-sans" w:eastAsia="Times New Roman" w:hAnsi="yandex-sans" w:cs="Times New Roman"/>
          <w:color w:val="000000"/>
          <w:sz w:val="28"/>
          <w:szCs w:val="28"/>
          <w:lang w:eastAsia="ru-RU"/>
        </w:rPr>
        <w:t>1</w:t>
      </w:r>
      <w:r w:rsidRPr="00A02293">
        <w:rPr>
          <w:rFonts w:ascii="yandex-sans" w:eastAsia="Times New Roman" w:hAnsi="yandex-sans" w:cs="Times New Roman"/>
          <w:color w:val="000000"/>
          <w:sz w:val="28"/>
          <w:szCs w:val="28"/>
          <w:lang w:eastAsia="ru-RU"/>
        </w:rPr>
        <w:t xml:space="preserve"> году</w:t>
      </w:r>
    </w:p>
    <w:p w:rsidR="005542D5" w:rsidRDefault="005542D5" w:rsidP="00A02293">
      <w:pPr>
        <w:shd w:val="clear" w:color="auto" w:fill="FFFFFF"/>
        <w:spacing w:after="0" w:line="240" w:lineRule="auto"/>
        <w:jc w:val="center"/>
        <w:rPr>
          <w:rFonts w:ascii="yandex-sans" w:eastAsia="Times New Roman" w:hAnsi="yandex-sans" w:cs="Times New Roman"/>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559"/>
      </w:tblGrid>
      <w:tr w:rsidR="00A02293" w:rsidRPr="00A02293" w:rsidTr="00A02293">
        <w:trPr>
          <w:trHeight w:val="510"/>
          <w:jc w:val="center"/>
        </w:trPr>
        <w:tc>
          <w:tcPr>
            <w:tcW w:w="7083" w:type="dxa"/>
            <w:shd w:val="clear" w:color="auto" w:fill="auto"/>
            <w:vAlign w:val="center"/>
          </w:tcPr>
          <w:p w:rsidR="00A02293" w:rsidRPr="00A02293" w:rsidRDefault="00A02293" w:rsidP="00A02293">
            <w:pPr>
              <w:spacing w:after="0" w:line="240" w:lineRule="auto"/>
              <w:jc w:val="center"/>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bCs/>
                <w:color w:val="000000"/>
                <w:sz w:val="28"/>
                <w:szCs w:val="28"/>
                <w:lang w:eastAsia="ru-RU"/>
              </w:rPr>
              <w:t>Показатели</w:t>
            </w:r>
          </w:p>
        </w:tc>
        <w:tc>
          <w:tcPr>
            <w:tcW w:w="1559" w:type="dxa"/>
            <w:shd w:val="clear" w:color="auto" w:fill="auto"/>
            <w:noWrap/>
            <w:vAlign w:val="center"/>
          </w:tcPr>
          <w:p w:rsidR="00A02293" w:rsidRPr="00A02293" w:rsidRDefault="00A02293" w:rsidP="00A70C9C">
            <w:pPr>
              <w:spacing w:after="0" w:line="240" w:lineRule="auto"/>
              <w:jc w:val="center"/>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20</w:t>
            </w:r>
            <w:r w:rsidR="005542D5">
              <w:rPr>
                <w:rFonts w:ascii="Times New Roman" w:eastAsia="Times New Roman" w:hAnsi="Times New Roman" w:cs="Times New Roman"/>
                <w:color w:val="000000"/>
                <w:sz w:val="28"/>
                <w:szCs w:val="28"/>
                <w:lang w:eastAsia="ru-RU"/>
              </w:rPr>
              <w:t>2</w:t>
            </w:r>
            <w:r w:rsidR="00A70C9C">
              <w:rPr>
                <w:rFonts w:ascii="Times New Roman" w:eastAsia="Times New Roman" w:hAnsi="Times New Roman" w:cs="Times New Roman"/>
                <w:color w:val="000000"/>
                <w:sz w:val="28"/>
                <w:szCs w:val="28"/>
                <w:lang w:eastAsia="ru-RU"/>
              </w:rPr>
              <w:t>1</w:t>
            </w:r>
            <w:r w:rsidRPr="00A02293">
              <w:rPr>
                <w:rFonts w:ascii="Times New Roman" w:eastAsia="Times New Roman" w:hAnsi="Times New Roman" w:cs="Times New Roman"/>
                <w:color w:val="000000"/>
                <w:sz w:val="28"/>
                <w:szCs w:val="28"/>
                <w:lang w:eastAsia="ru-RU"/>
              </w:rPr>
              <w:t xml:space="preserve"> год</w:t>
            </w:r>
          </w:p>
        </w:tc>
      </w:tr>
      <w:tr w:rsidR="00A02293" w:rsidRPr="00A02293" w:rsidTr="00A02293">
        <w:trPr>
          <w:trHeight w:val="510"/>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Проведено контрольных и экспертно-аналитических мероприятий, количество:</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96</w:t>
            </w:r>
          </w:p>
        </w:tc>
      </w:tr>
      <w:tr w:rsidR="00A02293" w:rsidRPr="00A02293" w:rsidTr="00A02293">
        <w:trPr>
          <w:trHeight w:val="300"/>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экспертно-аналитических мероприятий</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62</w:t>
            </w:r>
          </w:p>
        </w:tc>
      </w:tr>
      <w:tr w:rsidR="00A02293" w:rsidRPr="00A02293" w:rsidTr="00A02293">
        <w:trPr>
          <w:trHeight w:val="300"/>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 xml:space="preserve">контрольных мероприятий </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r>
      <w:tr w:rsidR="00A02293" w:rsidRPr="00A02293" w:rsidTr="00A02293">
        <w:trPr>
          <w:trHeight w:val="765"/>
          <w:jc w:val="center"/>
        </w:trPr>
        <w:tc>
          <w:tcPr>
            <w:tcW w:w="7083" w:type="dxa"/>
            <w:shd w:val="clear" w:color="000000" w:fill="FFFFFF"/>
            <w:vAlign w:val="center"/>
            <w:hideMark/>
          </w:tcPr>
          <w:p w:rsidR="00A02293" w:rsidRPr="00A02293" w:rsidRDefault="00A02293" w:rsidP="00710799">
            <w:pPr>
              <w:spacing w:after="0" w:line="240" w:lineRule="auto"/>
              <w:jc w:val="both"/>
              <w:rPr>
                <w:rFonts w:ascii="Times New Roman" w:eastAsia="Times New Roman" w:hAnsi="Times New Roman" w:cs="Times New Roman"/>
                <w:bCs/>
                <w:sz w:val="28"/>
                <w:szCs w:val="28"/>
                <w:lang w:eastAsia="ru-RU"/>
              </w:rPr>
            </w:pPr>
            <w:r w:rsidRPr="00A02293">
              <w:rPr>
                <w:rFonts w:ascii="Times New Roman" w:eastAsia="Times New Roman" w:hAnsi="Times New Roman" w:cs="Times New Roman"/>
                <w:bCs/>
                <w:sz w:val="28"/>
                <w:szCs w:val="28"/>
                <w:lang w:eastAsia="ru-RU"/>
              </w:rPr>
              <w:t>ВСЕГО выявлено нарушений в ходе осуществления внешнего государ</w:t>
            </w:r>
            <w:r>
              <w:rPr>
                <w:rFonts w:ascii="Times New Roman" w:eastAsia="Times New Roman" w:hAnsi="Times New Roman" w:cs="Times New Roman"/>
                <w:bCs/>
                <w:sz w:val="28"/>
                <w:szCs w:val="28"/>
                <w:lang w:eastAsia="ru-RU"/>
              </w:rPr>
              <w:t>ственного финансового контроля</w:t>
            </w:r>
            <w:r w:rsidRPr="00A02293">
              <w:rPr>
                <w:rFonts w:ascii="Times New Roman" w:eastAsia="Times New Roman" w:hAnsi="Times New Roman" w:cs="Times New Roman"/>
                <w:bCs/>
                <w:sz w:val="28"/>
                <w:szCs w:val="28"/>
                <w:lang w:eastAsia="ru-RU"/>
              </w:rPr>
              <w:t>, млн.руб</w:t>
            </w:r>
          </w:p>
        </w:tc>
        <w:tc>
          <w:tcPr>
            <w:tcW w:w="1559" w:type="dxa"/>
            <w:shd w:val="clear" w:color="auto" w:fill="auto"/>
            <w:vAlign w:val="center"/>
            <w:hideMark/>
          </w:tcPr>
          <w:p w:rsidR="00A02293" w:rsidRPr="00A02293" w:rsidRDefault="00A70C9C" w:rsidP="00710799">
            <w:pPr>
              <w:spacing w:after="0" w:line="240" w:lineRule="auto"/>
              <w:jc w:val="center"/>
              <w:rPr>
                <w:rFonts w:ascii="Times New Roman" w:eastAsia="Times New Roman" w:hAnsi="Times New Roman" w:cs="Times New Roman"/>
                <w:bCs/>
                <w:sz w:val="28"/>
                <w:szCs w:val="28"/>
                <w:lang w:eastAsia="ru-RU"/>
              </w:rPr>
            </w:pPr>
            <w:r w:rsidRPr="00A70C9C">
              <w:rPr>
                <w:rFonts w:ascii="Times New Roman" w:eastAsia="Times New Roman" w:hAnsi="Times New Roman" w:cs="Times New Roman"/>
                <w:bCs/>
                <w:sz w:val="28"/>
                <w:szCs w:val="28"/>
                <w:lang w:eastAsia="ru-RU"/>
              </w:rPr>
              <w:t>11 153,4</w:t>
            </w:r>
          </w:p>
        </w:tc>
      </w:tr>
      <w:tr w:rsidR="00A02293" w:rsidRPr="00A02293" w:rsidTr="00A02293">
        <w:trPr>
          <w:trHeight w:val="300"/>
          <w:jc w:val="center"/>
        </w:trPr>
        <w:tc>
          <w:tcPr>
            <w:tcW w:w="7083" w:type="dxa"/>
            <w:shd w:val="clear" w:color="auto" w:fill="auto"/>
            <w:vAlign w:val="center"/>
            <w:hideMark/>
          </w:tcPr>
          <w:p w:rsidR="00A02293" w:rsidRPr="00A02293" w:rsidRDefault="00A02293" w:rsidP="00710799">
            <w:pPr>
              <w:spacing w:after="0" w:line="240" w:lineRule="auto"/>
              <w:jc w:val="both"/>
              <w:rPr>
                <w:rFonts w:ascii="Times New Roman" w:eastAsia="Times New Roman" w:hAnsi="Times New Roman" w:cs="Times New Roman"/>
                <w:bCs/>
                <w:sz w:val="28"/>
                <w:szCs w:val="28"/>
                <w:lang w:eastAsia="ru-RU"/>
              </w:rPr>
            </w:pPr>
            <w:r w:rsidRPr="00A02293">
              <w:rPr>
                <w:rFonts w:ascii="Times New Roman" w:eastAsia="Times New Roman" w:hAnsi="Times New Roman" w:cs="Times New Roman"/>
                <w:bCs/>
                <w:sz w:val="28"/>
                <w:szCs w:val="28"/>
                <w:lang w:eastAsia="ru-RU"/>
              </w:rPr>
              <w:t>* по контрольным мероприятиям</w:t>
            </w:r>
          </w:p>
        </w:tc>
        <w:tc>
          <w:tcPr>
            <w:tcW w:w="1559" w:type="dxa"/>
            <w:shd w:val="clear" w:color="auto" w:fill="auto"/>
            <w:vAlign w:val="center"/>
          </w:tcPr>
          <w:p w:rsidR="00A02293" w:rsidRPr="00A02293" w:rsidRDefault="00A70C9C" w:rsidP="00710799">
            <w:pPr>
              <w:spacing w:after="0" w:line="240" w:lineRule="auto"/>
              <w:jc w:val="center"/>
              <w:rPr>
                <w:rFonts w:ascii="Times New Roman" w:eastAsia="Times New Roman" w:hAnsi="Times New Roman" w:cs="Times New Roman"/>
                <w:bCs/>
                <w:sz w:val="28"/>
                <w:szCs w:val="28"/>
                <w:lang w:eastAsia="ru-RU"/>
              </w:rPr>
            </w:pPr>
            <w:r w:rsidRPr="00A70C9C">
              <w:rPr>
                <w:rFonts w:ascii="Times New Roman" w:eastAsia="Times New Roman" w:hAnsi="Times New Roman" w:cs="Times New Roman"/>
                <w:bCs/>
                <w:sz w:val="28"/>
                <w:szCs w:val="28"/>
                <w:lang w:eastAsia="ru-RU"/>
              </w:rPr>
              <w:t>1 141,8</w:t>
            </w:r>
          </w:p>
        </w:tc>
      </w:tr>
      <w:tr w:rsidR="00A02293" w:rsidRPr="00A02293" w:rsidTr="00A02293">
        <w:trPr>
          <w:trHeight w:val="300"/>
          <w:jc w:val="center"/>
        </w:trPr>
        <w:tc>
          <w:tcPr>
            <w:tcW w:w="7083" w:type="dxa"/>
            <w:shd w:val="clear" w:color="auto" w:fill="auto"/>
            <w:vAlign w:val="center"/>
            <w:hideMark/>
          </w:tcPr>
          <w:p w:rsidR="00A02293" w:rsidRPr="00A02293" w:rsidRDefault="00A02293" w:rsidP="00710799">
            <w:pPr>
              <w:spacing w:after="0" w:line="240" w:lineRule="auto"/>
              <w:jc w:val="both"/>
              <w:rPr>
                <w:rFonts w:ascii="Times New Roman" w:eastAsia="Times New Roman" w:hAnsi="Times New Roman" w:cs="Times New Roman"/>
                <w:bCs/>
                <w:sz w:val="28"/>
                <w:szCs w:val="28"/>
                <w:lang w:eastAsia="ru-RU"/>
              </w:rPr>
            </w:pPr>
            <w:r w:rsidRPr="00A02293">
              <w:rPr>
                <w:rFonts w:ascii="Times New Roman" w:eastAsia="Times New Roman" w:hAnsi="Times New Roman" w:cs="Times New Roman"/>
                <w:bCs/>
                <w:sz w:val="28"/>
                <w:szCs w:val="28"/>
                <w:lang w:eastAsia="ru-RU"/>
              </w:rPr>
              <w:t xml:space="preserve">* по экспертно-аналитическим мероприятиям </w:t>
            </w:r>
          </w:p>
        </w:tc>
        <w:tc>
          <w:tcPr>
            <w:tcW w:w="1559" w:type="dxa"/>
            <w:shd w:val="clear" w:color="auto" w:fill="auto"/>
            <w:vAlign w:val="center"/>
          </w:tcPr>
          <w:p w:rsidR="00A02293" w:rsidRPr="00A02293" w:rsidRDefault="00A70C9C" w:rsidP="00710799">
            <w:pPr>
              <w:spacing w:after="0" w:line="240" w:lineRule="auto"/>
              <w:jc w:val="center"/>
              <w:rPr>
                <w:rFonts w:ascii="Times New Roman" w:eastAsia="Times New Roman" w:hAnsi="Times New Roman" w:cs="Times New Roman"/>
                <w:bCs/>
                <w:sz w:val="28"/>
                <w:szCs w:val="28"/>
                <w:lang w:eastAsia="ru-RU"/>
              </w:rPr>
            </w:pPr>
            <w:r w:rsidRPr="00A70C9C">
              <w:rPr>
                <w:rFonts w:ascii="Times New Roman" w:eastAsia="Times New Roman" w:hAnsi="Times New Roman" w:cs="Times New Roman"/>
                <w:bCs/>
                <w:sz w:val="28"/>
                <w:szCs w:val="28"/>
                <w:lang w:eastAsia="ru-RU"/>
              </w:rPr>
              <w:t>10 011,6</w:t>
            </w:r>
          </w:p>
        </w:tc>
      </w:tr>
      <w:tr w:rsidR="00A02293" w:rsidRPr="00A02293" w:rsidTr="00A02293">
        <w:trPr>
          <w:trHeight w:val="510"/>
          <w:jc w:val="center"/>
        </w:trPr>
        <w:tc>
          <w:tcPr>
            <w:tcW w:w="7083" w:type="dxa"/>
            <w:shd w:val="clear" w:color="auto" w:fill="auto"/>
            <w:vAlign w:val="center"/>
            <w:hideMark/>
          </w:tcPr>
          <w:p w:rsidR="00A02293" w:rsidRPr="00A02293" w:rsidRDefault="00A02293" w:rsidP="00710799">
            <w:pPr>
              <w:spacing w:after="0" w:line="240" w:lineRule="auto"/>
              <w:jc w:val="both"/>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Из общей суммы выявленных нарушений подлежит к возврату в бюджет</w:t>
            </w:r>
          </w:p>
        </w:tc>
        <w:tc>
          <w:tcPr>
            <w:tcW w:w="1559" w:type="dxa"/>
            <w:shd w:val="clear" w:color="auto" w:fill="auto"/>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92,6</w:t>
            </w:r>
          </w:p>
        </w:tc>
      </w:tr>
      <w:tr w:rsidR="00A02293" w:rsidRPr="00A02293" w:rsidTr="00A02293">
        <w:trPr>
          <w:trHeight w:val="510"/>
          <w:jc w:val="center"/>
        </w:trPr>
        <w:tc>
          <w:tcPr>
            <w:tcW w:w="7083" w:type="dxa"/>
            <w:shd w:val="clear" w:color="auto" w:fill="auto"/>
            <w:vAlign w:val="center"/>
            <w:hideMark/>
          </w:tcPr>
          <w:p w:rsidR="00A02293" w:rsidRPr="00A02293" w:rsidRDefault="00A02293" w:rsidP="00710799">
            <w:pPr>
              <w:spacing w:after="0" w:line="240" w:lineRule="auto"/>
              <w:jc w:val="both"/>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Возврат средств в бюджеты всех уровней бюджетной системы Российской Федерации, млн.руб</w:t>
            </w:r>
            <w:r w:rsidR="00864792">
              <w:rPr>
                <w:rFonts w:ascii="Times New Roman" w:eastAsia="Times New Roman" w:hAnsi="Times New Roman" w:cs="Times New Roman"/>
                <w:color w:val="000000"/>
                <w:sz w:val="28"/>
                <w:szCs w:val="28"/>
                <w:lang w:eastAsia="ru-RU"/>
              </w:rPr>
              <w:t>.</w:t>
            </w:r>
          </w:p>
        </w:tc>
        <w:tc>
          <w:tcPr>
            <w:tcW w:w="1559" w:type="dxa"/>
            <w:shd w:val="clear" w:color="auto" w:fill="auto"/>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26,4</w:t>
            </w:r>
          </w:p>
        </w:tc>
      </w:tr>
      <w:tr w:rsidR="00A02293" w:rsidRPr="00A02293" w:rsidTr="00A02293">
        <w:trPr>
          <w:trHeight w:val="1275"/>
          <w:jc w:val="center"/>
        </w:trPr>
        <w:tc>
          <w:tcPr>
            <w:tcW w:w="7083" w:type="dxa"/>
            <w:shd w:val="clear" w:color="000000" w:fill="FFFFFF"/>
            <w:vAlign w:val="center"/>
            <w:hideMark/>
          </w:tcPr>
          <w:p w:rsidR="00A02293" w:rsidRPr="00A02293" w:rsidRDefault="00A02293" w:rsidP="00710799">
            <w:pPr>
              <w:spacing w:after="0" w:line="240" w:lineRule="auto"/>
              <w:jc w:val="both"/>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млн.руб.</w:t>
            </w:r>
          </w:p>
        </w:tc>
        <w:tc>
          <w:tcPr>
            <w:tcW w:w="1559" w:type="dxa"/>
            <w:shd w:val="clear" w:color="auto" w:fill="auto"/>
            <w:vAlign w:val="center"/>
            <w:hideMark/>
          </w:tcPr>
          <w:p w:rsidR="00A02293" w:rsidRPr="00A02293" w:rsidRDefault="00A70C9C" w:rsidP="00A02293">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39,0</w:t>
            </w:r>
          </w:p>
        </w:tc>
      </w:tr>
      <w:tr w:rsidR="00A02293" w:rsidRPr="00A02293" w:rsidTr="00A02293">
        <w:trPr>
          <w:trHeight w:val="300"/>
          <w:jc w:val="center"/>
        </w:trPr>
        <w:tc>
          <w:tcPr>
            <w:tcW w:w="7083" w:type="dxa"/>
            <w:shd w:val="clear" w:color="000000" w:fill="FFFFFF"/>
            <w:vAlign w:val="center"/>
            <w:hideMark/>
          </w:tcPr>
          <w:p w:rsidR="00A02293" w:rsidRPr="00A02293" w:rsidRDefault="00A02293" w:rsidP="00710799">
            <w:pPr>
              <w:spacing w:after="0" w:line="240" w:lineRule="auto"/>
              <w:jc w:val="both"/>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 xml:space="preserve">Внесено представлений </w:t>
            </w:r>
          </w:p>
        </w:tc>
        <w:tc>
          <w:tcPr>
            <w:tcW w:w="1559" w:type="dxa"/>
            <w:shd w:val="clear" w:color="auto" w:fill="auto"/>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sidRPr="00A70C9C">
              <w:rPr>
                <w:rFonts w:ascii="Times New Roman" w:eastAsia="Times New Roman" w:hAnsi="Times New Roman" w:cs="Times New Roman"/>
                <w:color w:val="000000"/>
                <w:sz w:val="28"/>
                <w:szCs w:val="28"/>
                <w:lang w:eastAsia="ru-RU"/>
              </w:rPr>
              <w:t>35</w:t>
            </w:r>
          </w:p>
        </w:tc>
      </w:tr>
      <w:tr w:rsidR="00A02293" w:rsidRPr="00A02293" w:rsidTr="00A02293">
        <w:trPr>
          <w:trHeight w:val="510"/>
          <w:jc w:val="center"/>
        </w:trPr>
        <w:tc>
          <w:tcPr>
            <w:tcW w:w="7083" w:type="dxa"/>
            <w:shd w:val="clear" w:color="000000" w:fill="FFFFFF"/>
            <w:vAlign w:val="center"/>
            <w:hideMark/>
          </w:tcPr>
          <w:p w:rsidR="00A02293" w:rsidRPr="00A02293" w:rsidRDefault="00A02293" w:rsidP="00710799">
            <w:pPr>
              <w:spacing w:after="0" w:line="240" w:lineRule="auto"/>
              <w:jc w:val="both"/>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Количество направленных уведомлений о применении мер принуждения</w:t>
            </w:r>
          </w:p>
        </w:tc>
        <w:tc>
          <w:tcPr>
            <w:tcW w:w="1559" w:type="dxa"/>
            <w:shd w:val="clear" w:color="auto" w:fill="auto"/>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02293" w:rsidRPr="00A02293" w:rsidTr="00A02293">
        <w:trPr>
          <w:trHeight w:val="555"/>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Количество материалов, направленных в правоохранительные органы</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A02293" w:rsidRPr="00A02293" w:rsidTr="00A02293">
        <w:trPr>
          <w:trHeight w:val="645"/>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Количество составленных протоколов об административном правонарушении в отчетном году</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A02293" w:rsidRPr="00A02293" w:rsidTr="00A02293">
        <w:trPr>
          <w:trHeight w:val="315"/>
          <w:jc w:val="center"/>
        </w:trPr>
        <w:tc>
          <w:tcPr>
            <w:tcW w:w="7083" w:type="dxa"/>
            <w:shd w:val="clear" w:color="auto" w:fill="auto"/>
            <w:vAlign w:val="center"/>
            <w:hideMark/>
          </w:tcPr>
          <w:p w:rsidR="00A02293" w:rsidRPr="00A02293" w:rsidRDefault="00A02293" w:rsidP="00710799">
            <w:pPr>
              <w:spacing w:after="0" w:line="240" w:lineRule="auto"/>
              <w:rPr>
                <w:rFonts w:ascii="Times New Roman" w:eastAsia="Times New Roman" w:hAnsi="Times New Roman" w:cs="Times New Roman"/>
                <w:color w:val="000000"/>
                <w:sz w:val="28"/>
                <w:szCs w:val="28"/>
                <w:lang w:eastAsia="ru-RU"/>
              </w:rPr>
            </w:pPr>
            <w:r w:rsidRPr="00A02293">
              <w:rPr>
                <w:rFonts w:ascii="Times New Roman" w:eastAsia="Times New Roman" w:hAnsi="Times New Roman" w:cs="Times New Roman"/>
                <w:color w:val="000000"/>
                <w:sz w:val="28"/>
                <w:szCs w:val="28"/>
                <w:lang w:eastAsia="ru-RU"/>
              </w:rPr>
              <w:t>Количество возбужденных уголовных дел</w:t>
            </w:r>
          </w:p>
        </w:tc>
        <w:tc>
          <w:tcPr>
            <w:tcW w:w="1559" w:type="dxa"/>
            <w:shd w:val="clear" w:color="auto" w:fill="auto"/>
            <w:noWrap/>
            <w:vAlign w:val="center"/>
            <w:hideMark/>
          </w:tcPr>
          <w:p w:rsidR="00A02293" w:rsidRPr="00A02293" w:rsidRDefault="00A70C9C" w:rsidP="007107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bl>
    <w:p w:rsidR="00A02293" w:rsidRDefault="00A02293" w:rsidP="00A02293">
      <w:pPr>
        <w:pStyle w:val="a3"/>
        <w:ind w:firstLine="720"/>
        <w:jc w:val="both"/>
      </w:pPr>
    </w:p>
    <w:p w:rsidR="00A70C9C" w:rsidRPr="00A70C9C" w:rsidRDefault="00A70C9C" w:rsidP="00A70C9C">
      <w:pPr>
        <w:spacing w:after="0" w:line="240" w:lineRule="auto"/>
        <w:ind w:firstLine="709"/>
        <w:jc w:val="both"/>
        <w:rPr>
          <w:rFonts w:ascii="Times New Roman" w:eastAsia="Calibri" w:hAnsi="Times New Roman" w:cs="Times New Roman"/>
          <w:sz w:val="28"/>
          <w:szCs w:val="28"/>
        </w:rPr>
      </w:pPr>
      <w:r w:rsidRPr="00A70C9C">
        <w:rPr>
          <w:rFonts w:ascii="Times New Roman" w:eastAsia="Calibri" w:hAnsi="Times New Roman" w:cs="Times New Roman"/>
          <w:sz w:val="28"/>
          <w:szCs w:val="28"/>
        </w:rPr>
        <w:t>Общая сумма выявленных нарушений в ходе осуществления внешнего государственного финансового контроля составила 11,2 млрд.руб., в том числе по контрольным мероприятиям 1,1 млрд.руб.</w:t>
      </w:r>
    </w:p>
    <w:p w:rsidR="00A70C9C" w:rsidRPr="00A70C9C" w:rsidRDefault="00A70C9C" w:rsidP="00A70C9C">
      <w:pPr>
        <w:spacing w:after="0" w:line="240" w:lineRule="auto"/>
        <w:ind w:firstLine="709"/>
        <w:jc w:val="both"/>
        <w:rPr>
          <w:rFonts w:ascii="Times New Roman" w:eastAsia="Calibri" w:hAnsi="Times New Roman" w:cs="Times New Roman"/>
          <w:sz w:val="28"/>
          <w:szCs w:val="28"/>
        </w:rPr>
      </w:pPr>
      <w:r w:rsidRPr="00A70C9C">
        <w:rPr>
          <w:rFonts w:ascii="Times New Roman" w:eastAsia="Calibri" w:hAnsi="Times New Roman" w:cs="Times New Roman"/>
          <w:sz w:val="28"/>
          <w:szCs w:val="28"/>
        </w:rPr>
        <w:t>По результатам проведенных проверок подлежит возврату в областной бюджет  92,6 млн.руб.  Внесено 35 представлений, направлено 7 уведомлений о применении бюджетных мер принуждения, 21 материал направлен в правоохранительные органы, составлено 35  протоколов</w:t>
      </w:r>
      <w:r w:rsidRPr="00A70C9C">
        <w:rPr>
          <w:rFonts w:ascii="Times New Roman" w:eastAsia="Calibri" w:hAnsi="Times New Roman" w:cs="Times New Roman"/>
          <w:b/>
          <w:sz w:val="28"/>
          <w:szCs w:val="28"/>
        </w:rPr>
        <w:t xml:space="preserve"> </w:t>
      </w:r>
      <w:r w:rsidRPr="00A70C9C">
        <w:rPr>
          <w:rFonts w:ascii="Times New Roman" w:eastAsia="Calibri" w:hAnsi="Times New Roman" w:cs="Times New Roman"/>
          <w:sz w:val="28"/>
          <w:szCs w:val="28"/>
        </w:rPr>
        <w:t>по административным правонарушениям, возбуждено 4 уголовных дела.</w:t>
      </w:r>
    </w:p>
    <w:p w:rsidR="00A70C9C" w:rsidRPr="00A70C9C" w:rsidRDefault="00A70C9C" w:rsidP="00A70C9C">
      <w:pPr>
        <w:spacing w:after="0" w:line="240" w:lineRule="auto"/>
        <w:ind w:firstLine="709"/>
        <w:jc w:val="both"/>
        <w:rPr>
          <w:rFonts w:ascii="Times New Roman" w:eastAsia="Calibri" w:hAnsi="Times New Roman" w:cs="Times New Roman"/>
          <w:sz w:val="28"/>
          <w:szCs w:val="28"/>
        </w:rPr>
      </w:pPr>
      <w:r w:rsidRPr="00A70C9C">
        <w:rPr>
          <w:rFonts w:ascii="Times New Roman" w:eastAsia="Calibri" w:hAnsi="Times New Roman" w:cs="Times New Roman"/>
          <w:sz w:val="28"/>
          <w:szCs w:val="28"/>
        </w:rPr>
        <w:t>В 2021 году контрольно-счетной палатой Архангельской области проведено 62 экспертно-аналитических мероприятия, установлено 97 нарушений на 10,0 млрд.руб.</w:t>
      </w:r>
    </w:p>
    <w:p w:rsidR="0007363A" w:rsidRP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По результатам экспертизы проекта областного бюджета в адрес Правительства Архангельской области сформулирован ряд предложений, значительная часть которых учтена в Рекомендациях по итогам депутатских слушаний на тему: «О прогнозе социально-экономического развития Архангельской области на 2022 год и на плановый период 2023 и 2024 годов и отдельных показателях прогноза социально-экономического развития Ненецкого автономного округа на 2022 год и плановый период 2023 и 2024 годов» и «О проекте областного закона «Об областном бюджете на 2022 год и на плановый период 2023 и 2024 годов».</w:t>
      </w:r>
    </w:p>
    <w:p w:rsidR="0007363A" w:rsidRPr="0007363A" w:rsidRDefault="0007363A" w:rsidP="0007363A">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В течение 2021 года осуществлялся выборочный анализ государственных и муниципальных закупок с использованием Стандарта внешнего государственного финансового контроля «Проведение аудита в сфере закупок».</w:t>
      </w:r>
    </w:p>
    <w:p w:rsidR="0007363A" w:rsidRPr="0007363A" w:rsidRDefault="0007363A" w:rsidP="0007363A">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В 2021 году проведено 18 контрольных мероприятий по аудиту в сфере закупок в отношении 23 объектов контроля, что больше чем в 2020 году на 8 контрольных мероприятий или 80%.</w:t>
      </w:r>
    </w:p>
    <w:p w:rsidR="0007363A" w:rsidRPr="0007363A" w:rsidRDefault="0007363A" w:rsidP="0007363A">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По результатам мероприятий выявлено 137 нарушений законодательства о контрактной системе, что больше на 48 нарушений или на 53% по сравнению с 2020 годом, из них 8 финансовых нарушений, что меньше на 2 нарушения или 20 % по сравнению с 2020 годом. Суммовое выражение финансовых нарушений в 2021 году составляет 5,4 млн. руб., что меньше на 2,7 млн. руб. или 33% от результатов 2020 года.</w:t>
      </w:r>
    </w:p>
    <w:p w:rsidR="0007363A" w:rsidRP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Кроме того, в 2021 году контрольно-счетной палатой при проверках исследовались вопросы соблюдения законодательства об осуществлении закупок отдельными видами юридических лиц в соответствии с Федеральным законом от 18 июля 2011 г. № 223-ФЗ «О закупках товаров, работ, услуг отдельными видами юридических лиц»</w:t>
      </w:r>
    </w:p>
    <w:p w:rsidR="0007363A" w:rsidRP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 xml:space="preserve">Аудит (контроль) соблюдения законодательства о закупках отдельными видами юридических лиц проведен на 8 объектах, что большее в два раза по сравнению с 2021 годом. </w:t>
      </w:r>
    </w:p>
    <w:p w:rsid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 xml:space="preserve">Объем средств, при использовании которых выявлены нарушения в сфере закупок, составил 1,7 млн.руб. </w:t>
      </w:r>
    </w:p>
    <w:p w:rsidR="0007363A" w:rsidRP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Поскольку отчет о деятельности в части аудита (контроля) соблюдения законодательства о закупках отдельными видами юридических лиц формируется только по нарушениям, в отношении которых контрольно-счетной палатой могут быть приняты меры по результатам контрольного мероприятия, информация об отдельных выявленных нарушениях направлена для сведения в правоохранительные органы.</w:t>
      </w:r>
    </w:p>
    <w:p w:rsidR="00864792" w:rsidRDefault="0007363A" w:rsidP="00A02293">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Контрольно-счетной палатой Архангельской области в течение 2021 года составлено 35 протоколов об административных правонарушениях</w:t>
      </w:r>
      <w:r>
        <w:rPr>
          <w:rFonts w:ascii="Times New Roman" w:eastAsia="Calibri" w:hAnsi="Times New Roman" w:cs="Times New Roman"/>
          <w:sz w:val="28"/>
        </w:rPr>
        <w:t>.</w:t>
      </w:r>
    </w:p>
    <w:p w:rsidR="0007363A" w:rsidRPr="0007363A" w:rsidRDefault="0007363A" w:rsidP="0007363A">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Из назначенных в 2021 году административных штрафов поступило в областной бюджет 235 279,83 руб. (не поступили штрафы в том числе на сумму 20 000 руб. от должностного лица за невыполнение представления, на сумму 237 561,57 руб. от администрации Пинежского района, на сумму 313 843,19 руб. от управления городского хозяйства администрации г. Котласа, срок для уплаты указанных штрафов заканчивается в феврале-марте 2022 года).</w:t>
      </w:r>
    </w:p>
    <w:p w:rsidR="0007363A" w:rsidRPr="0007363A" w:rsidRDefault="0007363A" w:rsidP="0007363A">
      <w:pPr>
        <w:spacing w:after="0" w:line="240" w:lineRule="auto"/>
        <w:ind w:firstLine="709"/>
        <w:jc w:val="both"/>
        <w:rPr>
          <w:rFonts w:ascii="Times New Roman" w:eastAsia="Calibri" w:hAnsi="Times New Roman" w:cs="Times New Roman"/>
          <w:sz w:val="28"/>
        </w:rPr>
      </w:pPr>
      <w:r w:rsidRPr="0007363A">
        <w:rPr>
          <w:rFonts w:ascii="Times New Roman" w:eastAsia="Calibri" w:hAnsi="Times New Roman" w:cs="Times New Roman"/>
          <w:sz w:val="28"/>
        </w:rPr>
        <w:t>По протоколам, составленным в 2020 году, в 2021 году рассмотрено четыре дела, по всем четырем назначены административные штрафы в сумме 123 687,49 руб., поступили в областной бюджет в полном объеме. В 2021 году по постановлениям 2020 года поступило административных штрафов на сумму 331 697,53 руб.</w:t>
      </w:r>
    </w:p>
    <w:p w:rsidR="0007363A" w:rsidRPr="0007363A" w:rsidRDefault="0007363A" w:rsidP="0007363A">
      <w:pPr>
        <w:spacing w:after="0" w:line="240" w:lineRule="auto"/>
        <w:ind w:firstLine="709"/>
        <w:jc w:val="both"/>
        <w:rPr>
          <w:rFonts w:ascii="Times New Roman" w:eastAsia="Calibri" w:hAnsi="Times New Roman" w:cs="Times New Roman"/>
          <w:sz w:val="28"/>
          <w:szCs w:val="28"/>
        </w:rPr>
      </w:pPr>
      <w:r w:rsidRPr="0007363A">
        <w:rPr>
          <w:rFonts w:ascii="Times New Roman" w:eastAsia="Calibri" w:hAnsi="Times New Roman" w:cs="Times New Roman"/>
          <w:sz w:val="28"/>
          <w:szCs w:val="28"/>
        </w:rPr>
        <w:t xml:space="preserve">В производстве КСП Архангельской области за период 2021 года в общей сложности находилось 33 дела, часть из которых начата рассмотрением в суде первой инстанции в предыдущие периоды. С целью рассмотрения указанных дел судами различных инстанций за период 2021 года было назначено более 95 судебных заседаний. Как и в предыдущие периоды, представители КСП Архангельской области принимали как непосредственное участие в рассмотрении дел (лично), так и содействовали отправлению правосудия путем представления письменных мнений, отзывов и возражений, направления материалов контрольных мероприятий. </w:t>
      </w:r>
      <w:bookmarkStart w:id="0" w:name="_GoBack"/>
      <w:bookmarkEnd w:id="0"/>
    </w:p>
    <w:sectPr w:rsidR="0007363A" w:rsidRPr="0007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93"/>
    <w:rsid w:val="0007363A"/>
    <w:rsid w:val="000D1429"/>
    <w:rsid w:val="001323B2"/>
    <w:rsid w:val="00136E69"/>
    <w:rsid w:val="00183F2B"/>
    <w:rsid w:val="002277CE"/>
    <w:rsid w:val="002A6F90"/>
    <w:rsid w:val="005542D5"/>
    <w:rsid w:val="00615E5E"/>
    <w:rsid w:val="00864792"/>
    <w:rsid w:val="009724CE"/>
    <w:rsid w:val="00A02293"/>
    <w:rsid w:val="00A70C9C"/>
    <w:rsid w:val="00CC6A9A"/>
    <w:rsid w:val="00CE0296"/>
    <w:rsid w:val="00D22CEA"/>
    <w:rsid w:val="00D4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229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022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2293"/>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A022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Светлана Ивановна</dc:creator>
  <cp:lastModifiedBy>Колмогорова Людмила Владимировна</cp:lastModifiedBy>
  <cp:revision>2</cp:revision>
  <dcterms:created xsi:type="dcterms:W3CDTF">2022-06-15T06:35:00Z</dcterms:created>
  <dcterms:modified xsi:type="dcterms:W3CDTF">2022-06-15T06:35:00Z</dcterms:modified>
</cp:coreProperties>
</file>